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77 vom 2. Oktober 2019</w:t>
      </w:r>
    </w:p>
    <w:p>
      <w:r>
        <w:t>GR Gerichte, 2019-10-02, DE</w:t>
      </w:r>
    </w:p>
    <w:p>
      <w:r>
        <w:rPr>
          <w:b/>
        </w:rPr>
        <w:t xml:space="preserve">Quelle: </w:t>
      </w:r>
      <w:r>
        <w:t>https://mcp.opencaselaw.ch/entscheid/gr_gerichte_KSK 2019 77</w:t>
      </w:r>
    </w:p>
    <w:p>
      <w:r>
        <w:t>FR: GR_GERICHTE KSK 2019 77 du 2 octobre 2019</w:t>
      </w:r>
    </w:p>
    <w:p>
      <w:r>
        <w:t>IT: GR_GERICHTE KSK 2019 77 del 2 ottobre 2019</w:t>
      </w:r>
    </w:p>
    <w:p>
      <w:pPr>
        <w:pStyle w:val="Heading2"/>
      </w:pPr>
      <w:r>
        <w:t>Regeste</w:t>
      </w:r>
    </w:p>
    <w:p>
      <w:r>
        <w:t>Zahlungsbefehl | Aufsicht Beschwerde (SchKG 17 Abs. 1)</w:t>
      </w:r>
    </w:p>
    <w:p>
      <w:pPr>
        <w:pStyle w:val="Heading2"/>
      </w:pPr>
      <w:r>
        <w:t>Erwägungen</w:t>
      </w:r>
    </w:p>
    <w:p>
      <w:r>
        <w:rPr>
          <w:b/>
        </w:rPr>
        <w:t>E. 4</w:t>
      </w:r>
    </w:p>
    <w:p>
      <w:r>
        <w:t>/ 7 einseitig geltend macht, ihm stehe ein materiellrechtlicher, erzwingbarer und voll- streckbarer Anspruch gegen den Schuldner zu (vgl. BGE 136 III 373 E. 3.3, m.w.H.). Der Zahlungsbefehl als Grundlage des Vollstreckungsverfahrens kann grundsätzlich gegenüber jedermann erwirkt werden, unabhängig davon, ob tatsächlich eine Schuld besteht oder nicht (vgl. statt vieler: Urteil des Bundesge- richts 5A_838/2016 vom 13. März 2017, E. 2.1 m.w.H.). Nach Empfang des Be- treibungsbegehrens erlässt das Betreibungsamt den Zahlungsbefehl (vgl. Art. 69 Abs. 1 SchKG). Die Kognition des Betreibungsamtes bei der Prüfung des Betrei- bungsbegehrens beziehungsweise der Ausstellung des Zahlungsbefehls ist sehr beschränkt. Es hat dabei nur zu prüfen, ob ein formgültiges Betreibungsbegehren vorliegt. Ob der geltend gemachte Anspruch vollstreckbar oder überhaupt materi- ellrechtlich begründet ist, darf es – wie auch die Aufsichtsbehörde – nicht prüfen. Darüber hat, wenn zwischen den Parteien Streit entstehen sollte, im späteren Ver- lauf des Einleitungsverfahrens der Richter zu entscheiden. Das Betreibungsamt prüft nur die Verfahrensvoraussetzungen der Betreibung, wie beispielsweise seine örtliche Zuständigkeit (vgl. Kurt Amonn/Fridolin Walther, Grundriss des Schuldbe- treibungs- und Konkursrechts, 8. Aufl., Bern 2008, § 17 N 1; Karl Wüthrich/Peter Schoch, in: Staehelin/Bauer/Staehelin [Hrsg.], Basler Kommentar, Bundesgesetz über Schuldbetreibung und Konkurs I, Art. 1–158 SchKG, 2. Aufl., Basel 2010, N 12 zu Art. 69 SchKG). 3.1. Verfügungen, die gegen im öffentlichen Interesse oder im Interesse von am Verfahren nicht beteiligten Personen erlassene Vorschriften verstossen, sind nich- tig. Unabhängig davon, ob Beschwerde geführt worden ist, stellen die Aufsichts- behörden von Amtes wegen die Nichtigkeit einer Verfügung fest (Art. 22 Abs. 1 SchKG; BGE 122 I 97 E. 3a). Die Nichtigkeit, d.h. die absolute Unwirksamkeit ei- ner Verfügung, ist nur ausnahmsweise anzunehmen. Eine Verfügung ist nur dann nichtig, wenn der ihr anhaftende Mangel besonders schwer und offensichtlich oder zumindest leicht erkennbar ist und zudem die Rechtssicherheit dadurch nicht ernsthaft gefährdet wird. Eine nichtige Verfügung entfaltet keinerlei Rechtswirkun- gen und auf ihr beruhende weitere Verfügungen sind ihrerseits nichtig; die Nichtig- keit wirkt ex tunc. Während materiellrechtliche Mängel nur in seltenen Fällen zur Nichtigkeit eines Entscheids führen, sind schwerwiegende Verfahrensfehler sowie die qualifizierte Unzuständigkeit der verfügenden Behörde typische Nichtigkeits- gründe (Flavio Cometta/Urs Peter Möckli, in: Staehelin/Bauer/Staehelin [Hrsg.], Basler Kommentar, Bundesgesetz über Schuldbetreibung und Konkurs I, Art. 1 – 158 SchKG, 2. Aufl., Basel 2010, N 8 f. zu Art. 22 SchKG; Jolanta Kren Kostki- ewicz, SchKG-Kommentar, 19. Aufl., Zürich 2016, N 3 zu Art. 22 SchKG; Urteil des Bundesgerichts 2A_18/2007 vom 8. August 2007, E. 2.4 m.w.H.).</w:t>
      </w:r>
    </w:p>
    <w:p>
      <w:r>
        <w:rPr>
          <w:b/>
        </w:rPr>
        <w:t>E. 5</w:t>
      </w:r>
    </w:p>
    <w:p>
      <w:r>
        <w:t>/ 7 3.2. Nach der ständigen Rechtsprechung des Bundesgerichts ist die Schwelle zum Rechtsmissbrauch – eine Verletzung des in Art. 2 ZGB verankerten Grund- satzes, wonach jedermann in der Ausübung seiner Rechte und Pflichten nach Treu und Glauben zu handeln hat – erst dann überschritten, wenn mit der Betrei- bung offensichtlich Ziele verfolgt werden, die mit der Zwangsvollstreckung nicht das Geringste zu tun haben. Die Annahme eines Rechtsmissbrauchs kann also nur eine Ausnahme sein (Urteil des Bundesgerichts 5A_588/2011 vom 18. No- vember 2011, E. 3.2). Nichtigkeit wegen Rechtsmissbrauchs kann dann vorliegen, wenn mit einer Betreibung sachfremde Ziele verfolgt werden, etwa, wenn bloss die Kreditwürdigkeit des (angeblichen) Schuldners geschädigt werden soll oder wenn zwecks Schikane ein völlig übersetzter Betrag in Betreibung gesetzt wird (Urteil des Bundesgerichts 5A_838/2016, E. 2.1 m.w.H.). Da es, wie oben dargelegt (E. 2.2.), weder dem Betreibungsamt noch der Aufsichtsbehörde zusteht, über die Begründetheit der in Betreibung gesetzten Forderung zu entscheiden, darf sich der Vorwurf des Schuldners nicht darauf beschränken. Rechtsmissbrauch ist weit- gehend ausgeschlossen, solange der Betreibende mit der Betreibung tatsächlich die Einforderung eines von ihm behaupteten Anspruchs bezweckt (vgl. Urteil des Bundesgerichts 5A_588/2011 vom 18. November 2011, E. 2.1; BGE 113 III 2 E. 2b; Urteil des Bundesgerichts 5A_250/2015 vom 10. September 2015, E. 4.1; Thomas Engler, Die nichtige Betreibung, ZZZ 2016, S. 48). 3.3. Vorliegend verhält es sich wie folgt: Die Beschwerdegegnerin will wirklich eine Forderung bzw. mehrere Forderungen bei der Beschwerdeführerin eintreiben. Es handelt sich demzufolge nicht um eine schikanöse Betreibung, weshalb auch keine sachfremden Zwecke erreicht werden sollen. Ob die Forderungen tatsäch- lich gerechtfertigt sind oder nicht, ist allenfalls in einem Rechtsöffnungsverfahren oder einem ordentlichen gerichtlichen Verfahren zu prüfen. Diesbezüglich ist an- zumerken, dass die Beschwerdeführerin am 16. September 2019 bereits Rechts- vorschlag gegen den Zahlungsbefehl erhoben hat. Im Lichte des vorstehend Ausgeführten wird deutlich, dass die Betreibung somit nicht rechtsmissbräuchlich eingeleitet wurde und sich damit der in der Betreibung Nr. _____ erlassene Zahlungsbefehl nicht als nichtig erweist (vgl. Karl Wüth- rich/Peter Schoch, a.a.O., N 16 zu Art. 69 SchKG). Die Beschwerde ist demnach abzuweisen. 4. Der vorliegende Entscheid ergeht in Anwendung von Art. 7 Abs. 2 lit. a EGzZPO in einzelrichterlicher Kompetenz, da der Streitwert CHF 5'000.00 nicht überschreitet.</w:t>
      </w:r>
    </w:p>
    <w:p>
      <w:r>
        <w:rPr>
          <w:b/>
        </w:rPr>
        <w:t>E. 6</w:t>
      </w:r>
    </w:p>
    <w:p>
      <w:r>
        <w:t>/ 7 5. Gemäss Art. 20a Abs. 2 Ziff. 5 Satz 1 SchKG und Art. 61 Abs. 2 Ziff. a der Gebührenverordnung zum Bundesgesetz über Schuldbetreibung und Konkurs (GebVSchKG; SR 281.35) ist das Beschwerdeverfahren unentgeltlich, so dass die Kosten des Beschwerdeverfahrens beim Kanton Graubünden verbleiben. Gemäss Art. 62 Abs. 2 GebVSchKG dürfen für das Beschwerdeverfahren keine Parteien- tschädigungen zugesprochen werden.</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